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72"/>
          <w:szCs w:val="96"/>
        </w:rPr>
      </w:pPr>
      <w:r>
        <w:drawing>
          <wp:anchor distT="0" distB="0" distL="114300" distR="114300" simplePos="0" relativeHeight="251674624" behindDoc="1" locked="0" layoutInCell="1" allowOverlap="1">
            <wp:simplePos x="0" y="0"/>
            <wp:positionH relativeFrom="column">
              <wp:posOffset>-1011555</wp:posOffset>
            </wp:positionH>
            <wp:positionV relativeFrom="paragraph">
              <wp:posOffset>-986790</wp:posOffset>
            </wp:positionV>
            <wp:extent cx="7677785" cy="10511155"/>
            <wp:effectExtent l="0" t="0" r="18415"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2"/>
                    <a:stretch>
                      <a:fillRect/>
                    </a:stretch>
                  </pic:blipFill>
                  <pic:spPr>
                    <a:xfrm>
                      <a:off x="0" y="0"/>
                      <a:ext cx="7677785" cy="10511155"/>
                    </a:xfrm>
                    <a:prstGeom prst="rect">
                      <a:avLst/>
                    </a:prstGeom>
                  </pic:spPr>
                </pic:pic>
              </a:graphicData>
            </a:graphic>
          </wp:anchor>
        </w:drawing>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r>
        <mc:AlternateContent>
          <mc:Choice Requires="wps">
            <w:drawing>
              <wp:anchor distT="0" distB="0" distL="114300" distR="114300" simplePos="0" relativeHeight="251679744" behindDoc="0" locked="0" layoutInCell="1" allowOverlap="1">
                <wp:simplePos x="0" y="0"/>
                <wp:positionH relativeFrom="column">
                  <wp:posOffset>1344295</wp:posOffset>
                </wp:positionH>
                <wp:positionV relativeFrom="paragraph">
                  <wp:posOffset>4026535</wp:posOffset>
                </wp:positionV>
                <wp:extent cx="2467610" cy="600075"/>
                <wp:effectExtent l="0" t="0" r="0" b="0"/>
                <wp:wrapNone/>
                <wp:docPr id="2" name="文本框 2"/>
                <wp:cNvGraphicFramePr/>
                <a:graphic xmlns:a="http://schemas.openxmlformats.org/drawingml/2006/main">
                  <a:graphicData uri="http://schemas.microsoft.com/office/word/2010/wordprocessingShape">
                    <wps:wsp>
                      <wps:cNvSpPr txBox="1"/>
                      <wps:spPr>
                        <a:xfrm>
                          <a:off x="2600960" y="9102725"/>
                          <a:ext cx="246761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2021年9月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85pt;margin-top:317.05pt;height:47.25pt;width:194.3pt;z-index:251679744;mso-width-relative:page;mso-height-relative:page;" filled="f" stroked="f" coordsize="21600,21600" o:gfxdata="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KeEv9sAAAALAQAADwAAAAAAAAABACAAAAAiAAAAZHJzL2Rvd25yZXYueG1s&#10;UEsBAhQAFAAAAAgAh07iQGxoopQuAgAAMgQAAA4AAAAAAAAAAQAgAAAAKgEAAGRycy9lMm9Eb2Mu&#10;eG1sUEsFBgAAAAAGAAYAWQEAAMoFAAAAAA==&#10;">
                <v:fill on="f" focussize="0,0"/>
                <v:stroke on="f" weight="0.5pt"/>
                <v:imagedata o:title=""/>
                <o:lock v:ext="edit" aspectratio="f"/>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2021年9月</w:t>
                      </w:r>
                    </w:p>
                  </w:txbxContent>
                </v:textbox>
              </v:shape>
            </w:pict>
          </mc:Fallback>
        </mc:AlternateConten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41" w:right="1531" w:bottom="2041" w:left="1531" w:header="851" w:footer="992" w:gutter="0"/>
          <w:cols w:space="0" w:num="1"/>
          <w:titlePg/>
          <w:docGrid w:type="lines" w:linePitch="312" w:charSpace="0"/>
        </w:sectPr>
      </w:pPr>
    </w:p>
    <w:p>
      <w:pPr>
        <w:widowControl/>
        <w:spacing w:line="600" w:lineRule="exact"/>
        <w:jc w:val="left"/>
        <w:rPr>
          <w:rFonts w:ascii="黑体" w:hAnsi="黑体" w:eastAsia="黑体" w:cs="黑体"/>
          <w:bCs/>
          <w:sz w:val="32"/>
          <w:szCs w:val="32"/>
          <w:highlight w:val="yellow"/>
        </w:rPr>
      </w:pPr>
    </w:p>
    <w:p>
      <w:pPr>
        <w:tabs>
          <w:tab w:val="left" w:pos="2728"/>
        </w:tabs>
        <w:ind w:firstLine="720" w:firstLineChars="100"/>
        <w:jc w:val="center"/>
        <w:rPr>
          <w:rFonts w:hint="eastAsia" w:ascii="黑体" w:hAnsi="黑体" w:eastAsia="黑体" w:cs="黑体"/>
          <w:sz w:val="72"/>
          <w:szCs w:val="96"/>
        </w:rPr>
      </w:pPr>
    </w:p>
    <w:p>
      <w:pPr>
        <w:tabs>
          <w:tab w:val="left" w:pos="2728"/>
        </w:tabs>
        <w:ind w:firstLine="210" w:firstLineChars="100"/>
        <w:jc w:val="center"/>
        <w:rPr>
          <w:rFonts w:hint="eastAsia" w:ascii="黑体" w:hAnsi="黑体" w:eastAsia="黑体" w:cs="黑体"/>
          <w:sz w:val="72"/>
          <w:szCs w:val="96"/>
          <w:highlight w:val="yellow"/>
          <w:lang w:eastAsia="zh-CN"/>
        </w:rPr>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120650</wp:posOffset>
                </wp:positionV>
                <wp:extent cx="3846830" cy="2258695"/>
                <wp:effectExtent l="0" t="0" r="0" b="0"/>
                <wp:wrapNone/>
                <wp:docPr id="5" name="文本框 5"/>
                <wp:cNvGraphicFramePr/>
                <a:graphic xmlns:a="http://schemas.openxmlformats.org/drawingml/2006/main">
                  <a:graphicData uri="http://schemas.microsoft.com/office/word/2010/wordprocessingShape">
                    <wps:wsp>
                      <wps:cNvSpPr txBox="1"/>
                      <wps:spPr>
                        <a:xfrm>
                          <a:off x="2600960" y="9102725"/>
                          <a:ext cx="3846830" cy="2258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both"/>
                              <w:rPr>
                                <w:rFonts w:ascii="楷体_GB2312" w:hAnsi="楷体_GB2312" w:eastAsia="楷体_GB2312" w:cs="楷体_GB2312"/>
                                <w:sz w:val="44"/>
                                <w:szCs w:val="5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75pt;margin-top:9.5pt;height:177.85pt;width:302.9pt;z-index:251660288;mso-width-relative:page;mso-height-relative:page;" filled="f" stroked="f" coordsize="21600,21600" o:gfxdata="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Q9FePaAAAACgEAAA8AAAAAAAAAAQAgAAAAIgAAAGRycy9kb3ducmV2&#10;LnhtbFBLAQIUABQAAAAIAIdO4kArf8dSMwIAADMEAAAOAAAAAAAAAAEAIAAAACkBAABkcnMvZTJv&#10;RG9jLnhtbFBLBQYAAAAABgAGAFkBAADOBQAAAAA=&#10;">
                <v:fill on="f" focussize="0,0"/>
                <v:stroke on="f" weight="0.5pt"/>
                <v:imagedata o:title=""/>
                <o:lock v:ext="edit" aspectratio="f"/>
                <v:textbox>
                  <w:txbxContent>
                    <w:p>
                      <w:pPr>
                        <w:jc w:val="both"/>
                        <w:rPr>
                          <w:rFonts w:ascii="楷体_GB2312" w:hAnsi="楷体_GB2312" w:eastAsia="楷体_GB2312" w:cs="楷体_GB2312"/>
                          <w:sz w:val="44"/>
                          <w:szCs w:val="52"/>
                        </w:rPr>
                      </w:pPr>
                    </w:p>
                  </w:txbxContent>
                </v:textbox>
              </v:shape>
            </w:pict>
          </mc:Fallback>
        </mc:AlternateContent>
      </w:r>
      <w:r>
        <w:rPr>
          <w:rFonts w:hint="eastAsia" w:ascii="黑体" w:hAnsi="黑体" w:eastAsia="黑体" w:cs="黑体"/>
          <w:sz w:val="72"/>
          <w:szCs w:val="96"/>
        </w:rPr>
        <w:t>石家庄市</w:t>
      </w:r>
      <w:r>
        <w:rPr>
          <w:rFonts w:hint="eastAsia" w:ascii="黑体" w:hAnsi="黑体" w:eastAsia="黑体" w:cs="黑体"/>
          <w:sz w:val="72"/>
          <w:szCs w:val="96"/>
          <w:lang w:eastAsia="zh-CN"/>
        </w:rPr>
        <w:t>第</w:t>
      </w:r>
      <w:r>
        <w:rPr>
          <w:rFonts w:hint="eastAsia" w:ascii="黑体" w:hAnsi="黑体" w:eastAsia="黑体" w:cs="黑体"/>
          <w:sz w:val="72"/>
          <w:szCs w:val="96"/>
          <w:lang w:val="en-US" w:eastAsia="zh-CN"/>
        </w:rPr>
        <w:t>四十九</w:t>
      </w:r>
      <w:r>
        <w:rPr>
          <w:rFonts w:hint="eastAsia" w:ascii="黑体" w:hAnsi="黑体" w:eastAsia="黑体" w:cs="黑体"/>
          <w:sz w:val="72"/>
          <w:szCs w:val="96"/>
          <w:lang w:eastAsia="zh-CN"/>
        </w:rPr>
        <w:t>中学</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pStyle w:val="2"/>
        <w:rPr>
          <w:rFonts w:hint="eastAsia"/>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headerReference r:id="rId7" w:type="first"/>
          <w:footerReference r:id="rId8" w:type="first"/>
          <w:headerReference r:id="rId6" w:type="default"/>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二〇二一年九月</w:t>
      </w:r>
    </w:p>
    <w:p>
      <w:pPr>
        <w:tabs>
          <w:tab w:val="left" w:pos="2728"/>
        </w:tabs>
        <w:jc w:val="both"/>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部门概况</w:t>
      </w:r>
    </w:p>
    <w:p>
      <w:pPr>
        <w:keepNext w:val="0"/>
        <w:keepLines w:val="0"/>
        <w:pageBreakBefore w:val="0"/>
        <w:widowControl/>
        <w:kinsoku/>
        <w:wordWrap/>
        <w:overflowPunct/>
        <w:topLinePunct w:val="0"/>
        <w:autoSpaceDE/>
        <w:autoSpaceDN/>
        <w:bidi w:val="0"/>
        <w:adjustRightInd/>
        <w:snapToGrid/>
        <w:spacing w:after="160" w:line="56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after="160" w:line="56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560" w:lineRule="exact"/>
        <w:ind w:left="630" w:leftChars="30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after="160" w:line="560" w:lineRule="exact"/>
        <w:ind w:left="64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after="160" w:line="560" w:lineRule="exact"/>
        <w:ind w:firstLine="640" w:firstLineChars="200"/>
        <w:textAlignment w:val="auto"/>
        <w:rPr>
          <w:rFonts w:ascii="Times New Roman" w:hAnsi="Times New Roman" w:eastAsia="黑体" w:cs="Times New Roman"/>
          <w:sz w:val="32"/>
          <w:szCs w:val="32"/>
        </w:rPr>
      </w:pPr>
    </w:p>
    <w:p>
      <w:pPr>
        <w:tabs>
          <w:tab w:val="left" w:pos="1563"/>
        </w:tabs>
        <w:bidi w:val="0"/>
        <w:jc w:val="left"/>
        <w:rPr>
          <w:lang w:val="en-US" w:eastAsia="zh-CN"/>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72"/>
        </w:rPr>
        <mc:AlternateContent>
          <mc:Choice Requires="wps">
            <w:drawing>
              <wp:anchor distT="0" distB="0" distL="114300" distR="114300" simplePos="0" relativeHeight="251668480" behindDoc="0" locked="0" layoutInCell="1" allowOverlap="1">
                <wp:simplePos x="0" y="0"/>
                <wp:positionH relativeFrom="column">
                  <wp:posOffset>-1239520</wp:posOffset>
                </wp:positionH>
                <wp:positionV relativeFrom="paragraph">
                  <wp:posOffset>2375535</wp:posOffset>
                </wp:positionV>
                <wp:extent cx="7793355" cy="3341370"/>
                <wp:effectExtent l="6350" t="6350" r="10795" b="1778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5A5A5"/>
                          </a:solidFill>
                          <a:prstDash val="solid"/>
                          <a:miter/>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_x0000_s1026" o:spid="_x0000_s1026" o:spt="202" type="#_x0000_t202" style="position:absolute;left:0pt;margin-left:-97.6pt;margin-top:187.05pt;height:263.1pt;width:613.65pt;z-index:251668480;v-text-anchor:middle;mso-width-relative:page;mso-height-relative:page;" fillcolor="#7F7F7F" filled="t" stroked="t" coordsize="21600,21600" o:gfxdata="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IPar3AAAAA0BAAAPAAAAAAAAAAEAIAAAACIAAABkcnMvZG93bnJldi54bWxQSwECFAAUAAAACACH&#10;TuJAlSyDGyACAABOBAAADgAAAAAAAAABACAAAAArAQAAZHJzL2Uyb0RvYy54bWxQSwUGAAAAAAYA&#10;BgBZAQAAvQUAAAAA&#10;">
                <v:fill type="pattern" on="t" color2="#FFFFFF" focussize="0,0" r:id="rId13"/>
                <v:stroke weight="1pt" color="#A5A5A5" joinstyle="miter"/>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石家庄市第</w:t>
      </w:r>
      <w:r>
        <w:rPr>
          <w:rFonts w:hint="eastAsia" w:ascii="仿宋_GB2312" w:hAnsi="Times New Roman" w:eastAsia="仿宋_GB2312" w:cs="DengXian-Regular"/>
          <w:sz w:val="32"/>
          <w:szCs w:val="32"/>
          <w:lang w:val="en-US" w:eastAsia="zh-CN"/>
        </w:rPr>
        <w:t>四十九</w:t>
      </w:r>
      <w:r>
        <w:rPr>
          <w:rFonts w:hint="eastAsia" w:ascii="仿宋_GB2312" w:hAnsi="Times New Roman" w:eastAsia="仿宋_GB2312" w:cs="DengXian-Regular"/>
          <w:sz w:val="32"/>
          <w:szCs w:val="32"/>
        </w:rPr>
        <w:t>中学是一所完全中学，实施高中、初中学历教育，促进基础教育发展。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1、全面贯彻、落实党的教育方针，遵循教育教学规律，全面实施素质教育，自觉接受上级教育行政部门的指导和监督，促进学校可持续发展。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2、依法治校，自觉遵照国家法律、法令、法规管理学校，建章立制，规范办学行为。重视学校精神文明建设，创建校园文化。</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3、全面推进课程教学改革，不断深化教育教学创新，努力创建学校特色，打造学校的品牌。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4、领导和组织德育工作，坚持以德为首，认真贯彻管理育人、教书育人、服务育人、环境育人的工作方针，全面提高学生的素质。按照上级制定的招生计划招收学生。</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5、贯彻勤俭办学的原则，严格执行预算。</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6、加强领导班子、班主任、教师队伍建设，抓好“人才工程”、组织教师进修、培训，不断提高政治思想、职业道德、专业技能。</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7、抓好党团建工作、老干部及工会工作。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8、完成上级布置的其他任务。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从决算编报单位构成看，纳入2020 年度本部门决算汇编范围的独立核算单位（以下简称“单位”）共 1 个，具体情况如下：</w:t>
      </w:r>
    </w:p>
    <w:tbl>
      <w:tblPr>
        <w:tblStyle w:val="7"/>
        <w:tblpPr w:leftFromText="180" w:rightFromText="180" w:vertAnchor="text" w:horzAnchor="page" w:tblpXSpec="center" w:tblpY="10"/>
        <w:tblOverlap w:val="never"/>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78"/>
        <w:gridCol w:w="2552"/>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37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55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0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378"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石家庄市第</w:t>
            </w:r>
            <w:r>
              <w:rPr>
                <w:rFonts w:hint="eastAsia" w:ascii="仿宋_GB2312" w:hAnsi="Calibri" w:eastAsia="仿宋_GB2312" w:cs="ArialUnicodeMS"/>
                <w:kern w:val="0"/>
                <w:sz w:val="28"/>
                <w:szCs w:val="28"/>
                <w:lang w:eastAsia="zh-CN"/>
              </w:rPr>
              <w:t>四十九</w:t>
            </w:r>
            <w:r>
              <w:rPr>
                <w:rFonts w:hint="eastAsia" w:ascii="仿宋_GB2312" w:hAnsi="Calibri" w:eastAsia="仿宋_GB2312" w:cs="ArialUnicodeMS"/>
                <w:kern w:val="0"/>
                <w:sz w:val="28"/>
                <w:szCs w:val="28"/>
              </w:rPr>
              <w:t>中学</w:t>
            </w:r>
          </w:p>
        </w:tc>
        <w:tc>
          <w:tcPr>
            <w:tcW w:w="255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803"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财政性资金基本保证</w:t>
            </w:r>
          </w:p>
        </w:tc>
      </w:tr>
    </w:tbl>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72"/>
        </w:rPr>
        <mc:AlternateContent>
          <mc:Choice Requires="wps">
            <w:drawing>
              <wp:anchor distT="0" distB="0" distL="114300" distR="114300" simplePos="0" relativeHeight="251672576" behindDoc="0" locked="0" layoutInCell="1" allowOverlap="1">
                <wp:simplePos x="0" y="0"/>
                <wp:positionH relativeFrom="column">
                  <wp:posOffset>-1149350</wp:posOffset>
                </wp:positionH>
                <wp:positionV relativeFrom="paragraph">
                  <wp:posOffset>1285240</wp:posOffset>
                </wp:positionV>
                <wp:extent cx="7793355" cy="3341370"/>
                <wp:effectExtent l="6350" t="6350" r="10795" b="17780"/>
                <wp:wrapNone/>
                <wp:docPr id="6" name="文本框 6"/>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5A5A5"/>
                          </a:solidFill>
                          <a:prstDash val="solid"/>
                          <a:miter/>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_x0000_s1026" o:spid="_x0000_s1026" o:spt="202" type="#_x0000_t202" style="position:absolute;left:0pt;margin-left:-90.5pt;margin-top:101.2pt;height:263.1pt;width:613.65pt;z-index:251672576;v-text-anchor:middle;mso-width-relative:page;mso-height-relative:page;" fillcolor="#7F7F7F" filled="t" stroked="t" coordsize="21600,21600" o:gfxdata="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HO1dsAAAANAQAADwAAAAAAAAABACAAAAAiAAAAZHJzL2Rvd25yZXYueG1sUEsBAhQAFAAAAAgA&#10;h07iQLrUUXIiAgAATgQAAA4AAAAAAAAAAQAgAAAAKgEAAGRycy9lMm9Eb2MueG1sUEsFBgAAAAAG&#10;AAYAWQEAAL4FAAAAAA==&#10;">
                <v:fill type="pattern" on="t" color2="#FFFFFF" focussize="0,0" r:id="rId13"/>
                <v:stroke weight="1pt" color="#A5A5A5" joinstyle="miter"/>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numPr>
          <w:ilvl w:val="0"/>
          <w:numId w:val="0"/>
        </w:numPr>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keepNext/>
        <w:keepLines/>
        <w:snapToGrid w:val="0"/>
        <w:spacing w:line="580" w:lineRule="exact"/>
        <w:ind w:left="210" w:leftChars="100"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本单位2020年度收支总计（含结转和结余）</w:t>
      </w:r>
      <w:r>
        <w:rPr>
          <w:rFonts w:hint="eastAsia" w:ascii="仿宋_GB2312" w:hAnsi="Times New Roman" w:eastAsia="仿宋_GB2312" w:cs="DengXian-Regular"/>
          <w:sz w:val="32"/>
          <w:szCs w:val="32"/>
          <w:lang w:val="en-US" w:eastAsia="zh-CN"/>
        </w:rPr>
        <w:t>3782.26</w:t>
      </w:r>
      <w:r>
        <w:rPr>
          <w:rFonts w:hint="eastAsia" w:ascii="仿宋_GB2312" w:hAnsi="Times New Roman" w:eastAsia="仿宋_GB2312" w:cs="DengXian-Regular"/>
          <w:sz w:val="32"/>
          <w:szCs w:val="32"/>
        </w:rPr>
        <w:t>万元。与2019年度决算相比，收支各减少</w:t>
      </w:r>
      <w:r>
        <w:rPr>
          <w:rFonts w:hint="eastAsia" w:ascii="仿宋_GB2312" w:hAnsi="Times New Roman" w:eastAsia="仿宋_GB2312" w:cs="DengXian-Regular"/>
          <w:sz w:val="32"/>
          <w:szCs w:val="32"/>
          <w:lang w:val="en-US" w:eastAsia="zh-CN"/>
        </w:rPr>
        <w:t>279.66</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6.88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受疫情影响安排专项资金减少及</w:t>
      </w:r>
      <w:r>
        <w:rPr>
          <w:rFonts w:hint="eastAsia" w:ascii="仿宋_GB2312" w:hAnsi="Times New Roman" w:eastAsia="仿宋_GB2312" w:cs="DengXian-Regular"/>
          <w:sz w:val="32"/>
          <w:szCs w:val="32"/>
        </w:rPr>
        <w:t>年初结转结余</w:t>
      </w:r>
      <w:r>
        <w:rPr>
          <w:rFonts w:hint="eastAsia" w:ascii="仿宋_GB2312" w:hAnsi="Times New Roman" w:eastAsia="仿宋_GB2312" w:cs="DengXian-Regular"/>
          <w:sz w:val="32"/>
          <w:szCs w:val="32"/>
          <w:lang w:eastAsia="zh-CN"/>
        </w:rPr>
        <w:t>资金</w:t>
      </w:r>
      <w:r>
        <w:rPr>
          <w:rFonts w:hint="eastAsia" w:ascii="仿宋_GB2312" w:hAnsi="Times New Roman" w:eastAsia="仿宋_GB2312" w:cs="DengXian-Regular"/>
          <w:sz w:val="32"/>
          <w:szCs w:val="32"/>
        </w:rPr>
        <w:t>减少。</w:t>
      </w:r>
    </w:p>
    <w:p>
      <w:pPr>
        <w:pStyle w:val="2"/>
      </w:pPr>
      <w:r>
        <w:rPr>
          <w:rFonts w:hint="default" w:ascii="仿宋_GB2312" w:hAnsi="Times New Roman" w:eastAsia="仿宋_GB2312" w:cs="DengXian-Regular"/>
          <w:sz w:val="32"/>
          <w:szCs w:val="32"/>
          <w:lang w:val="en-US"/>
        </w:rPr>
        <w:drawing>
          <wp:inline distT="0" distB="0" distL="114300" distR="114300">
            <wp:extent cx="5080000" cy="3810000"/>
            <wp:effectExtent l="4445" t="4445" r="8255" b="82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本单位2020年度本年收入合计</w:t>
      </w:r>
      <w:r>
        <w:rPr>
          <w:rFonts w:hint="eastAsia" w:ascii="仿宋_GB2312" w:hAnsi="Times New Roman" w:eastAsia="仿宋_GB2312" w:cs="DengXian-Regular"/>
          <w:sz w:val="32"/>
          <w:szCs w:val="32"/>
          <w:lang w:val="en-US" w:eastAsia="zh-CN"/>
        </w:rPr>
        <w:t>3697.52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99.54</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万元，占0.</w:t>
      </w:r>
      <w:r>
        <w:rPr>
          <w:rFonts w:hint="eastAsia" w:ascii="仿宋_GB2312" w:hAnsi="Times New Roman" w:eastAsia="仿宋_GB2312" w:cs="DengXian-Regular"/>
          <w:sz w:val="32"/>
          <w:szCs w:val="32"/>
          <w:lang w:val="en-US" w:eastAsia="zh-CN"/>
        </w:rPr>
        <w:t>46</w:t>
      </w:r>
      <w:r>
        <w:rPr>
          <w:rFonts w:hint="eastAsia" w:ascii="仿宋_GB2312" w:hAnsi="Times New Roman" w:eastAsia="仿宋_GB2312" w:cs="DengXian-Regular"/>
          <w:sz w:val="32"/>
          <w:szCs w:val="32"/>
        </w:rPr>
        <w:t>%。如图所示：</w:t>
      </w:r>
    </w:p>
    <w:p>
      <w:pPr>
        <w:adjustRightInd w:val="0"/>
        <w:snapToGrid w:val="0"/>
        <w:rPr>
          <w:rFonts w:ascii="仿宋_GB2312" w:hAnsi="Times New Roman" w:eastAsia="仿宋_GB2312" w:cs="DengXian-Regular"/>
          <w:sz w:val="32"/>
          <w:szCs w:val="32"/>
        </w:rPr>
      </w:pPr>
    </w:p>
    <w:p>
      <w:pPr>
        <w:adjustRightInd w:val="0"/>
        <w:snapToGrid w:val="0"/>
        <w:rPr>
          <w:rFonts w:ascii="仿宋_GB2312" w:hAnsi="Times New Roman" w:eastAsia="仿宋_GB2312" w:cs="DengXian-Regular"/>
          <w:sz w:val="32"/>
          <w:szCs w:val="32"/>
        </w:rPr>
      </w:pPr>
    </w:p>
    <w:p>
      <w:pPr>
        <w:adjustRightInd w:val="0"/>
        <w:snapToGrid w:val="0"/>
      </w:pPr>
      <w:r>
        <w:drawing>
          <wp:inline distT="0" distB="0" distL="114300" distR="114300">
            <wp:extent cx="5085080" cy="2618105"/>
            <wp:effectExtent l="0" t="0" r="7620" b="1079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本单位2020年度本年支出合计</w:t>
      </w:r>
      <w:r>
        <w:rPr>
          <w:rFonts w:hint="eastAsia" w:ascii="仿宋_GB2312" w:hAnsi="Times New Roman" w:eastAsia="仿宋_GB2312" w:cs="DengXian-Regular"/>
          <w:sz w:val="32"/>
          <w:szCs w:val="32"/>
          <w:lang w:val="en-US" w:eastAsia="zh-CN"/>
        </w:rPr>
        <w:t>3734.34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3394.69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90.9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339.65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w:t>
      </w:r>
      <w:r>
        <w:rPr>
          <w:rFonts w:hint="eastAsia" w:ascii="仿宋_GB2312" w:hAnsi="Times New Roman" w:eastAsia="仿宋_GB2312" w:cs="DengXian-Regular"/>
          <w:sz w:val="32"/>
          <w:szCs w:val="32"/>
        </w:rPr>
        <w:t>%。如图所示：</w:t>
      </w:r>
    </w:p>
    <w:p>
      <w:pPr>
        <w:adjustRightInd w:val="0"/>
        <w:snapToGrid w:val="0"/>
        <w:rPr>
          <w:rFonts w:hint="eastAsia" w:ascii="仿宋_GB2312" w:hAnsi="Times New Roman" w:eastAsia="仿宋_GB2312" w:cs="DengXian-Regular"/>
          <w:sz w:val="32"/>
          <w:szCs w:val="32"/>
          <w:lang w:eastAsia="zh-CN"/>
        </w:rPr>
      </w:pPr>
      <w:r>
        <w:drawing>
          <wp:inline distT="0" distB="0" distL="114300" distR="114300">
            <wp:extent cx="5185410" cy="1990725"/>
            <wp:effectExtent l="0" t="0" r="8890" b="3175"/>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adjustRightInd w:val="0"/>
        <w:snapToGrid w:val="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（一）财政拨款收支与2019年度决算对比情况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本单位2020年度形成的财政拨款收支均为一般公共预算财政拨款，其中本年收入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万元,比2019年度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216.35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6.25</w:t>
      </w:r>
      <w:r>
        <w:rPr>
          <w:rFonts w:hint="eastAsia" w:ascii="仿宋_GB2312" w:hAnsi="Times New Roman" w:eastAsia="仿宋_GB2312" w:cs="DengXian-Regular"/>
          <w:sz w:val="32"/>
          <w:szCs w:val="32"/>
        </w:rPr>
        <w:t>%，主要是项目资金</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万元，比2019年度减少</w:t>
      </w:r>
      <w:r>
        <w:rPr>
          <w:rFonts w:hint="eastAsia" w:ascii="仿宋_GB2312" w:hAnsi="Times New Roman" w:eastAsia="仿宋_GB2312" w:cs="DengXian-Regular"/>
          <w:sz w:val="32"/>
          <w:szCs w:val="32"/>
          <w:lang w:val="en-US" w:eastAsia="zh-CN"/>
        </w:rPr>
        <w:t>98.8</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2.58</w:t>
      </w:r>
      <w:r>
        <w:rPr>
          <w:rFonts w:hint="eastAsia" w:ascii="仿宋_GB2312" w:hAnsi="Times New Roman" w:eastAsia="仿宋_GB2312" w:cs="DengXian-Regular"/>
          <w:sz w:val="32"/>
          <w:szCs w:val="32"/>
        </w:rPr>
        <w:t>%，主要是2020年初财政拨款结转减少。</w:t>
      </w:r>
      <w:r>
        <w:rPr>
          <w:rFonts w:hint="eastAsia" w:ascii="仿宋_GB2312" w:hAnsi="Times New Roman" w:eastAsia="仿宋_GB2312" w:cs="DengXian-Regular"/>
          <w:sz w:val="32"/>
          <w:szCs w:val="32"/>
        </w:rPr>
        <w:tab/>
      </w:r>
      <w:r>
        <w:rPr>
          <w:rFonts w:hint="eastAsia" w:ascii="仿宋_GB2312" w:hAnsi="Times New Roman" w:eastAsia="仿宋_GB2312" w:cs="DengXian-Regular"/>
          <w:sz w:val="32"/>
          <w:szCs w:val="32"/>
        </w:rPr>
        <w:tab/>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本单位2020年度一般公共预算财政拨款收入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万元，比年初预算增加</w:t>
      </w:r>
      <w:r>
        <w:rPr>
          <w:rFonts w:hint="eastAsia" w:ascii="仿宋_GB2312" w:hAnsi="Times New Roman" w:eastAsia="仿宋_GB2312" w:cs="DengXian-Regular"/>
          <w:sz w:val="32"/>
          <w:szCs w:val="32"/>
          <w:lang w:val="en-US" w:eastAsia="zh-CN"/>
        </w:rPr>
        <w:t>146.47</w:t>
      </w:r>
      <w:r>
        <w:rPr>
          <w:rFonts w:hint="eastAsia" w:ascii="仿宋_GB2312" w:hAnsi="Times New Roman" w:eastAsia="仿宋_GB2312" w:cs="DengXian-Regular"/>
          <w:sz w:val="32"/>
          <w:szCs w:val="32"/>
        </w:rPr>
        <w:t>万元，决算数大于预算数主要原因是：有的人员经费是按财政拨款结转—归集调入拨入的。本年支出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万元，比年初预算增加</w:t>
      </w:r>
      <w:r>
        <w:rPr>
          <w:rFonts w:hint="eastAsia" w:ascii="仿宋_GB2312" w:hAnsi="Times New Roman" w:eastAsia="仿宋_GB2312" w:cs="DengXian-Regular"/>
          <w:sz w:val="32"/>
          <w:szCs w:val="32"/>
          <w:lang w:val="en-US" w:eastAsia="zh-CN"/>
        </w:rPr>
        <w:t>189.34</w:t>
      </w:r>
      <w:r>
        <w:rPr>
          <w:rFonts w:hint="eastAsia" w:ascii="仿宋_GB2312" w:hAnsi="Times New Roman" w:eastAsia="仿宋_GB2312" w:cs="DengXian-Regular"/>
          <w:sz w:val="32"/>
          <w:szCs w:val="32"/>
        </w:rPr>
        <w:t>万元，原因为年初学校未作项目支出预算，由教育局统一做。</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2020 年度财政拨款支出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万元，教育（类）支出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万元，占100%。其中基本支出</w:t>
      </w:r>
      <w:r>
        <w:rPr>
          <w:rFonts w:hint="eastAsia" w:ascii="仿宋_GB2312" w:hAnsi="Times New Roman" w:eastAsia="仿宋_GB2312" w:cs="DengXian-Regular"/>
          <w:sz w:val="32"/>
          <w:szCs w:val="32"/>
          <w:lang w:val="en-US" w:eastAsia="zh-CN"/>
        </w:rPr>
        <w:t>3384.01</w:t>
      </w:r>
      <w:r>
        <w:rPr>
          <w:rFonts w:hint="eastAsia" w:ascii="仿宋_GB2312" w:hAnsi="Times New Roman" w:eastAsia="仿宋_GB2312" w:cs="DengXian-Regular"/>
          <w:sz w:val="32"/>
          <w:szCs w:val="32"/>
        </w:rPr>
        <w:t>万元，项目支出</w:t>
      </w:r>
      <w:r>
        <w:rPr>
          <w:rFonts w:hint="eastAsia" w:ascii="仿宋_GB2312" w:hAnsi="Times New Roman" w:eastAsia="仿宋_GB2312" w:cs="DengXian-Regular"/>
          <w:sz w:val="32"/>
          <w:szCs w:val="32"/>
          <w:lang w:val="en-US" w:eastAsia="zh-CN"/>
        </w:rPr>
        <w:t>339.38</w:t>
      </w:r>
      <w:r>
        <w:rPr>
          <w:rFonts w:hint="eastAsia" w:ascii="仿宋_GB2312" w:hAnsi="Times New Roman" w:eastAsia="仿宋_GB2312" w:cs="DengXian-Regular"/>
          <w:sz w:val="32"/>
          <w:szCs w:val="32"/>
        </w:rPr>
        <w:t>万元。</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2020年度财政拨款基本支出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3384.01</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万元，其中：人员经费 </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3255.53</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ascii="仿宋_GB2312" w:hAnsi="Times New Roman" w:eastAsia="仿宋_GB2312" w:cs="Wingdings"/>
          <w:sz w:val="32"/>
          <w:szCs w:val="32"/>
        </w:rPr>
        <w:t>主要包括基本工资、津贴补贴、绩效工资、机关事业单位基本养老保险缴费、职工基本医疗保险缴费、住房公积金、其他社会保障缴费、退休费、抚恤金、生活补助、奖励金、其他对个人和家庭的补助支出；</w:t>
      </w:r>
      <w:r>
        <w:rPr>
          <w:rFonts w:hint="eastAsia" w:ascii="仿宋_GB2312" w:hAnsi="Times New Roman" w:eastAsia="仿宋_GB2312" w:cs="DengXian-Regular"/>
          <w:color w:val="000000" w:themeColor="text1"/>
          <w:sz w:val="32"/>
          <w:szCs w:val="32"/>
          <w14:textFill>
            <w14:solidFill>
              <w14:schemeClr w14:val="tx1"/>
            </w14:solidFill>
          </w14:textFill>
        </w:rPr>
        <w:t>公用经费</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128.48</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ascii="仿宋_GB2312" w:hAnsi="Times New Roman" w:eastAsia="仿宋_GB2312" w:cs="Wingdings"/>
          <w:sz w:val="32"/>
          <w:szCs w:val="32"/>
        </w:rPr>
        <w:t>主要包括办公费、电费、邮电费、取暖费、物业管理费、差旅费、维修（护）费、培训费、专用材料费、</w:t>
      </w:r>
      <w:r>
        <w:rPr>
          <w:rFonts w:hint="eastAsia" w:ascii="仿宋_GB2312" w:hAnsi="Times New Roman" w:eastAsia="仿宋_GB2312" w:cs="Wingdings"/>
          <w:sz w:val="32"/>
          <w:szCs w:val="32"/>
          <w:lang w:val="en-US" w:eastAsia="zh-CN"/>
        </w:rPr>
        <w:t>水资源税、</w:t>
      </w:r>
      <w:r>
        <w:rPr>
          <w:rFonts w:hint="eastAsia" w:ascii="仿宋_GB2312" w:hAnsi="Times New Roman" w:eastAsia="仿宋_GB2312" w:cs="Wingdings"/>
          <w:sz w:val="32"/>
          <w:szCs w:val="32"/>
        </w:rPr>
        <w:t>委托业务费、工会经费、公务用车运行维护费、其他商品和服务支出</w:t>
      </w:r>
      <w:r>
        <w:rPr>
          <w:rFonts w:hint="eastAsia" w:ascii="仿宋_GB2312" w:hAnsi="Times New Roman" w:eastAsia="仿宋_GB2312" w:cs="Wingdings"/>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本单位2020年度“三公”经费支出共计</w:t>
      </w:r>
      <w:r>
        <w:rPr>
          <w:rFonts w:hint="eastAsia" w:ascii="仿宋_GB2312" w:hAnsi="Times New Roman" w:eastAsia="仿宋_GB2312" w:cs="DengXian-Regular"/>
          <w:sz w:val="32"/>
          <w:szCs w:val="32"/>
          <w:lang w:val="en-US" w:eastAsia="zh-CN"/>
        </w:rPr>
        <w:t>1.22</w:t>
      </w:r>
      <w:r>
        <w:rPr>
          <w:rFonts w:hint="eastAsia" w:ascii="仿宋_GB2312" w:hAnsi="Times New Roman" w:eastAsia="仿宋_GB2312" w:cs="DengXian-Regular"/>
          <w:sz w:val="32"/>
          <w:szCs w:val="32"/>
        </w:rPr>
        <w:t>万元，较预算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万元，</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本单位2020年度因公出国（境）团组0个、共0人/参加其他单位组织的因公出国（境）团组0个、共0人/无本单位组织的出国（境）团组。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1.22</w:t>
      </w:r>
      <w:r>
        <w:rPr>
          <w:rFonts w:hint="eastAsia" w:ascii="楷体_GB2312" w:hAnsi="Times New Roman" w:eastAsia="楷体_GB2312" w:cs="DengXian-Bold"/>
          <w:b/>
          <w:bCs/>
          <w:sz w:val="32"/>
          <w:szCs w:val="32"/>
        </w:rPr>
        <w:t>万元。</w:t>
      </w:r>
      <w:r>
        <w:rPr>
          <w:rFonts w:ascii="仿宋_GB2312" w:hAnsi="仿宋" w:eastAsia="仿宋_GB2312"/>
          <w:sz w:val="32"/>
          <w:szCs w:val="32"/>
        </w:rPr>
        <w:t>比上年增长</w:t>
      </w:r>
      <w:r>
        <w:rPr>
          <w:rFonts w:hint="eastAsia" w:ascii="仿宋_GB2312" w:hAnsi="仿宋" w:eastAsia="仿宋_GB2312"/>
          <w:sz w:val="32"/>
          <w:szCs w:val="32"/>
          <w:lang w:val="en-US" w:eastAsia="zh-CN"/>
        </w:rPr>
        <w:t>0.13万</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增长11.66</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本单位2020年度公务用车购置量0辆，发生“公务用车购置”经费支出0万元。</w:t>
      </w:r>
      <w:r>
        <w:rPr>
          <w:rFonts w:hint="eastAsia" w:ascii="仿宋_GB2312" w:hAnsi="Times New Roman" w:eastAsia="仿宋_GB2312" w:cs="DengXian-Regular"/>
          <w:color w:val="000000"/>
          <w:sz w:val="32"/>
          <w:szCs w:val="32"/>
        </w:rPr>
        <w:t>与年初预算持平、与2019年度决算支出持平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仿宋" w:eastAsia="仿宋_GB2312"/>
          <w:sz w:val="32"/>
          <w:szCs w:val="32"/>
          <w:lang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本单位2020年度单位公务用车保有量1辆。</w:t>
      </w:r>
      <w:r>
        <w:rPr>
          <w:rFonts w:ascii="仿宋_GB2312" w:hAnsi="仿宋" w:eastAsia="仿宋_GB2312"/>
          <w:sz w:val="32"/>
          <w:szCs w:val="32"/>
        </w:rPr>
        <w:t>比上年增长</w:t>
      </w:r>
      <w:r>
        <w:rPr>
          <w:rFonts w:hint="eastAsia" w:ascii="仿宋_GB2312" w:hAnsi="仿宋" w:eastAsia="仿宋_GB2312"/>
          <w:sz w:val="32"/>
          <w:szCs w:val="32"/>
          <w:lang w:val="en-US" w:eastAsia="zh-CN"/>
        </w:rPr>
        <w:t>0.13万</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增长11.66</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本单位2020年度公务接待共0批次、0人次。</w:t>
      </w:r>
    </w:p>
    <w:p>
      <w:pPr>
        <w:keepNext/>
        <w:keepLines/>
        <w:snapToGrid w:val="0"/>
        <w:spacing w:line="580" w:lineRule="exact"/>
        <w:ind w:firstLine="640" w:firstLineChars="200"/>
        <w:outlineLvl w:val="1"/>
        <w:rPr>
          <w:rFonts w:hint="eastAsia" w:ascii="黑体" w:hAnsi="Cambria" w:eastAsia="黑体" w:cs="黑体"/>
          <w:kern w:val="0"/>
          <w:sz w:val="32"/>
          <w:szCs w:val="32"/>
        </w:rPr>
      </w:pPr>
      <w:r>
        <w:rPr>
          <w:rFonts w:hint="eastAsia" w:ascii="黑体" w:hAnsi="Cambria" w:eastAsia="黑体" w:cs="黑体"/>
          <w:kern w:val="0"/>
          <w:sz w:val="32"/>
          <w:szCs w:val="32"/>
        </w:rPr>
        <w:t>六、预算绩效情况说明</w:t>
      </w:r>
    </w:p>
    <w:p>
      <w:pPr>
        <w:snapToGrid w:val="0"/>
        <w:spacing w:line="580" w:lineRule="exact"/>
        <w:ind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根据预算绩效管理要求，本部门配合上级部门组织的对 2020年度项目支出全面开展的绩效自评工作，且评价结果由上级部门决算中评价公开。</w:t>
      </w:r>
    </w:p>
    <w:p>
      <w:pPr>
        <w:keepNext/>
        <w:keepLines/>
        <w:numPr>
          <w:ilvl w:val="0"/>
          <w:numId w:val="0"/>
        </w:numPr>
        <w:snapToGrid w:val="0"/>
        <w:spacing w:line="580" w:lineRule="exact"/>
        <w:ind w:firstLine="640" w:firstLineChars="200"/>
        <w:outlineLvl w:val="1"/>
        <w:rPr>
          <w:rFonts w:ascii="楷体_GB2312" w:hAnsi="Times New Roman" w:eastAsia="楷体_GB2312" w:cs="DengXian-Bold"/>
          <w:b/>
          <w:bCs/>
          <w:sz w:val="32"/>
          <w:szCs w:val="32"/>
        </w:rPr>
      </w:pPr>
      <w:r>
        <w:rPr>
          <w:rFonts w:hint="eastAsia" w:ascii="黑体" w:hAnsi="Calibri" w:eastAsia="黑体" w:cs="Times New Roman"/>
          <w:sz w:val="32"/>
          <w:szCs w:val="32"/>
          <w:lang w:val="en-US" w:eastAsia="zh-CN"/>
        </w:rPr>
        <w:t>七</w:t>
      </w:r>
      <w:r>
        <w:rPr>
          <w:rFonts w:hint="eastAsia" w:ascii="黑体" w:hAnsi="Calibri" w:eastAsia="黑体" w:cs="Times New Roman"/>
          <w:sz w:val="32"/>
          <w:szCs w:val="32"/>
        </w:rPr>
        <w:t>、</w:t>
      </w:r>
      <w:r>
        <w:rPr>
          <w:rFonts w:hint="eastAsia" w:ascii="黑体" w:hAnsi="Cambria" w:eastAsia="黑体" w:cs="黑体"/>
          <w:kern w:val="0"/>
          <w:sz w:val="32"/>
          <w:szCs w:val="32"/>
        </w:rPr>
        <w:t>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本单位2020年度无机关运行经费。</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本单位2020年度政府采购支出总额</w:t>
      </w:r>
      <w:r>
        <w:rPr>
          <w:rFonts w:hint="eastAsia" w:ascii="仿宋_GB2312" w:hAnsi="Times New Roman" w:eastAsia="仿宋_GB2312" w:cs="DengXian-Regular"/>
          <w:sz w:val="32"/>
          <w:szCs w:val="32"/>
          <w:lang w:val="en-US" w:eastAsia="zh-CN"/>
        </w:rPr>
        <w:t>98.98</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50.03</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48.95</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98.98</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100%，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98.98</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bidi="ar"/>
        </w:rPr>
        <w:t>100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0" w:firstLineChars="200"/>
        <w:outlineLvl w:val="2"/>
        <w:rPr>
          <w:rFonts w:ascii="楷体_GB2312" w:hAnsi="Times New Roman" w:eastAsia="楷体_GB2312" w:cs="DengXian-Bold"/>
          <w:b/>
          <w:bCs/>
          <w:sz w:val="32"/>
          <w:szCs w:val="32"/>
        </w:rPr>
      </w:pPr>
      <w:r>
        <w:rPr>
          <w:rFonts w:hint="eastAsia" w:ascii="黑体" w:hAnsi="黑体" w:eastAsia="黑体" w:cs="黑体"/>
          <w:sz w:val="32"/>
          <w:szCs w:val="32"/>
        </w:rPr>
        <w:t>九、</w:t>
      </w:r>
      <w:r>
        <w:rPr>
          <w:rFonts w:hint="eastAsia" w:ascii="楷体_GB2312" w:hAnsi="Times New Roman" w:eastAsia="楷体_GB2312" w:cs="DengXian-Bold"/>
          <w:b/>
          <w:bCs/>
          <w:sz w:val="32"/>
          <w:szCs w:val="32"/>
        </w:rPr>
        <w:t>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2020年12月31日，本部门共有车辆1辆，比上年增加（减少）0辆。其中，副部（省）级及以上领导用车0辆，主要领导干部用车0辆，机要通信用车0辆，应急保障用车0辆，执法执勤用车0辆，特种专业技术用车0辆，离退休干部用车0辆，其他用车1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台（套），比上年增加（减少）0套，单位价值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万元以上专用设备0台（套）比上年增加（减少）0套。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lang w:val="en-US" w:eastAsia="zh-CN"/>
        </w:rPr>
        <w:t>十、</w:t>
      </w:r>
      <w:r>
        <w:rPr>
          <w:rFonts w:hint="eastAsia" w:ascii="楷体_GB2312" w:hAnsi="Times New Roman" w:eastAsia="楷体_GB2312" w:cs="DengXian-Bold"/>
          <w:b/>
          <w:bCs/>
          <w:sz w:val="32"/>
          <w:szCs w:val="32"/>
        </w:rPr>
        <w:t>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本单位2020年度政府性基金预算财政拨款收入支出决算表、国有资本经营预算财政拨款支出决算表无收支及结转结余情况，故公开08表、公开09表以空表列示。</w:t>
      </w:r>
    </w:p>
    <w:p>
      <w:pPr>
        <w:adjustRightInd w:val="0"/>
        <w:snapToGrid w:val="0"/>
        <w:spacing w:line="580" w:lineRule="exact"/>
        <w:ind w:firstLine="640" w:firstLineChars="200"/>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hint="eastAsia"/>
        </w:rPr>
      </w:pPr>
    </w:p>
    <w:p>
      <w:pPr>
        <w:pStyle w:val="2"/>
        <w:rPr>
          <w:rFonts w:hint="eastAsia"/>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72"/>
        </w:rPr>
        <mc:AlternateContent>
          <mc:Choice Requires="wps">
            <w:drawing>
              <wp:anchor distT="0" distB="0" distL="114300" distR="114300" simplePos="0" relativeHeight="251663360" behindDoc="0" locked="0" layoutInCell="1" allowOverlap="1">
                <wp:simplePos x="0" y="0"/>
                <wp:positionH relativeFrom="column">
                  <wp:posOffset>-1182370</wp:posOffset>
                </wp:positionH>
                <wp:positionV relativeFrom="paragraph">
                  <wp:posOffset>68580</wp:posOffset>
                </wp:positionV>
                <wp:extent cx="7793355" cy="3341370"/>
                <wp:effectExtent l="4445" t="4445" r="12700" b="6985"/>
                <wp:wrapNone/>
                <wp:docPr id="3" name="文本框 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miter/>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_x0000_s1026" o:spid="_x0000_s1026" o:spt="202" type="#_x0000_t202" style="position:absolute;left:0pt;margin-left:-93.1pt;margin-top:5.4pt;height:263.1pt;width:613.65pt;z-index:251663360;v-text-anchor:middle;mso-width-relative:page;mso-height-relative:page;" fillcolor="#7F7F7F" filled="t" stroked="t" coordsize="21600,21600" o:gfxdata="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clkV32QAA&#10;AAwBAAAPAAAAAAAAAAEAIAAAACIAAABkcnMvZG93bnJldi54bWxQSwECFAAUAAAACACHTuJAuNFf&#10;TB0CAABNBAAADgAAAAAAAAABACAAAAAoAQAAZHJzL2Uyb0RvYy54bWxQSwUGAAAAAAYABgBZAQAA&#10;twUAAAAA&#10;">
                <v:fill type="pattern" on="t" color2="#FFFFFF" focussize="0,0" r:id="rId13"/>
                <v:stroke weight="0.5pt" color="#7F7F7F" joinstyle="miter"/>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left"/>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widowControl/>
        <w:spacing w:line="560" w:lineRule="exact"/>
        <w:ind w:firstLine="640" w:firstLineChars="200"/>
        <w:rPr>
          <w:rFonts w:ascii="仿宋_GB2312" w:hAnsi="Cambria" w:eastAsia="仿宋_GB2312" w:cs="ArialUnicodeMS"/>
          <w:kern w:val="0"/>
          <w:sz w:val="32"/>
          <w:szCs w:val="32"/>
        </w:rPr>
      </w:pPr>
    </w:p>
    <w:p>
      <w:pPr>
        <w:pStyle w:val="2"/>
        <w:rPr>
          <w:rFonts w:ascii="仿宋_GB2312" w:hAnsi="Cambria" w:eastAsia="仿宋_GB2312" w:cs="ArialUnicodeMS"/>
          <w:kern w:val="0"/>
          <w:sz w:val="32"/>
          <w:szCs w:val="32"/>
        </w:rPr>
      </w:pPr>
    </w:p>
    <w:p>
      <w:pPr>
        <w:rPr>
          <w:rFonts w:ascii="仿宋_GB2312" w:hAnsi="Cambria" w:eastAsia="仿宋_GB2312" w:cs="ArialUnicodeMS"/>
          <w:kern w:val="0"/>
          <w:sz w:val="32"/>
          <w:szCs w:val="32"/>
        </w:rPr>
      </w:pPr>
    </w:p>
    <w:p>
      <w:pPr>
        <w:pStyle w:val="2"/>
        <w:rPr>
          <w:rFonts w:ascii="仿宋_GB2312" w:hAnsi="Cambria" w:eastAsia="仿宋_GB2312" w:cs="ArialUnicodeMS"/>
          <w:kern w:val="0"/>
          <w:sz w:val="32"/>
          <w:szCs w:val="32"/>
        </w:rPr>
      </w:pPr>
    </w:p>
    <w:p>
      <w:pPr>
        <w:rPr>
          <w:rFonts w:ascii="仿宋_GB2312" w:hAnsi="Cambria" w:eastAsia="仿宋_GB2312" w:cs="ArialUnicodeMS"/>
          <w:kern w:val="0"/>
          <w:sz w:val="32"/>
          <w:szCs w:val="32"/>
        </w:rPr>
      </w:pPr>
    </w:p>
    <w:p>
      <w:pPr>
        <w:pStyle w:val="2"/>
        <w:rPr>
          <w:rFonts w:ascii="仿宋_GB2312" w:hAnsi="Cambria" w:eastAsia="仿宋_GB2312" w:cs="ArialUnicodeMS"/>
          <w:kern w:val="0"/>
          <w:sz w:val="32"/>
          <w:szCs w:val="32"/>
        </w:rPr>
      </w:pPr>
    </w:p>
    <w:p>
      <w:pPr>
        <w:rPr>
          <w:rFonts w:ascii="仿宋_GB2312" w:hAnsi="Cambria" w:eastAsia="仿宋_GB2312" w:cs="ArialUnicodeMS"/>
          <w:kern w:val="0"/>
          <w:sz w:val="32"/>
          <w:szCs w:val="32"/>
        </w:rPr>
      </w:pPr>
    </w:p>
    <w:p>
      <w:pPr>
        <w:pStyle w:val="2"/>
        <w:rPr>
          <w:rFonts w:ascii="仿宋_GB2312" w:hAnsi="Cambria" w:eastAsia="仿宋_GB2312" w:cs="ArialUnicodeMS"/>
          <w:kern w:val="0"/>
          <w:sz w:val="32"/>
          <w:szCs w:val="32"/>
        </w:rPr>
      </w:pPr>
    </w:p>
    <w:p/>
    <w:p>
      <w:pPr>
        <w:pStyle w:val="2"/>
      </w:pPr>
    </w:p>
    <w:p/>
    <w:p>
      <w:pPr>
        <w:pStyle w:val="2"/>
      </w:pPr>
    </w:p>
    <w:p/>
    <w:p>
      <w:pPr>
        <w:pStyle w:val="2"/>
      </w:pPr>
    </w:p>
    <w:p/>
    <w:p/>
    <w:p>
      <w:pPr>
        <w:pStyle w:val="2"/>
      </w:pPr>
      <w:r>
        <w:rPr>
          <w:sz w:val="72"/>
        </w:rPr>
        <mc:AlternateContent>
          <mc:Choice Requires="wps">
            <w:drawing>
              <wp:anchor distT="0" distB="0" distL="114300" distR="114300" simplePos="0" relativeHeight="251664384" behindDoc="0" locked="0" layoutInCell="1" allowOverlap="1">
                <wp:simplePos x="0" y="0"/>
                <wp:positionH relativeFrom="column">
                  <wp:posOffset>-1158875</wp:posOffset>
                </wp:positionH>
                <wp:positionV relativeFrom="paragraph">
                  <wp:posOffset>15875</wp:posOffset>
                </wp:positionV>
                <wp:extent cx="7793355" cy="3341370"/>
                <wp:effectExtent l="6350" t="6350" r="10795" b="24130"/>
                <wp:wrapNone/>
                <wp:docPr id="12" name="文本框 1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miter/>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_x0000_s1026" o:spid="_x0000_s1026" o:spt="202" type="#_x0000_t202" style="position:absolute;left:0pt;margin-left:-91.25pt;margin-top:1.25pt;height:263.1pt;width:613.65pt;z-index:251664384;v-text-anchor:middle;mso-width-relative:page;mso-height-relative:page;" fillcolor="#7F7F7F" filled="t" stroked="t" coordsize="21600,21600" o:gfxdata="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k&#10;ChhA2gAAAAsBAAAPAAAAAAAAAAEAIAAAACIAAABkcnMvZG93bnJldi54bWxQSwECFAAUAAAACACH&#10;TuJAQORCIyICAABQBAAADgAAAAAAAAABACAAAAApAQAAZHJzL2Uyb0RvYy54bWxQSwUGAAAAAAYA&#10;BgBZAQAAvQUAAAAA&#10;">
                <v:fill type="pattern" on="t" color2="#FFFFFF" focussize="0,0" r:id="rId13"/>
                <v:stroke weight="1pt" color="#A6A6A6" joinstyle="miter"/>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p/>
    <w:p/>
    <w:p/>
    <w:p/>
    <w:p/>
    <w:p/>
    <w:p/>
    <w:p/>
    <w:p/>
    <w:p/>
    <w:p/>
    <w:p>
      <w:r>
        <w:drawing>
          <wp:inline distT="0" distB="0" distL="114300" distR="114300">
            <wp:extent cx="5269865" cy="4109085"/>
            <wp:effectExtent l="0" t="0" r="635" b="5715"/>
            <wp:docPr id="235"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24"/>
                    <pic:cNvPicPr>
                      <a:picLocks noChangeAspect="1"/>
                    </pic:cNvPicPr>
                  </pic:nvPicPr>
                  <pic:blipFill>
                    <a:blip r:embed="rId17"/>
                    <a:stretch>
                      <a:fillRect/>
                    </a:stretch>
                  </pic:blipFill>
                  <pic:spPr>
                    <a:xfrm>
                      <a:off x="0" y="0"/>
                      <a:ext cx="5269865" cy="4109085"/>
                    </a:xfrm>
                    <a:prstGeom prst="rect">
                      <a:avLst/>
                    </a:prstGeom>
                    <a:noFill/>
                    <a:ln>
                      <a:noFill/>
                    </a:ln>
                  </pic:spPr>
                </pic:pic>
              </a:graphicData>
            </a:graphic>
          </wp:inline>
        </w:drawing>
      </w:r>
    </w:p>
    <w:p>
      <w:r>
        <w:drawing>
          <wp:inline distT="0" distB="0" distL="114300" distR="114300">
            <wp:extent cx="5264785" cy="1767205"/>
            <wp:effectExtent l="0" t="0" r="5715" b="10795"/>
            <wp:docPr id="236"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25"/>
                    <pic:cNvPicPr>
                      <a:picLocks noChangeAspect="1"/>
                    </pic:cNvPicPr>
                  </pic:nvPicPr>
                  <pic:blipFill>
                    <a:blip r:embed="rId18"/>
                    <a:stretch>
                      <a:fillRect/>
                    </a:stretch>
                  </pic:blipFill>
                  <pic:spPr>
                    <a:xfrm>
                      <a:off x="0" y="0"/>
                      <a:ext cx="5264785" cy="1767205"/>
                    </a:xfrm>
                    <a:prstGeom prst="rect">
                      <a:avLst/>
                    </a:prstGeom>
                    <a:noFill/>
                    <a:ln>
                      <a:noFill/>
                    </a:ln>
                  </pic:spPr>
                </pic:pic>
              </a:graphicData>
            </a:graphic>
          </wp:inline>
        </w:drawing>
      </w:r>
    </w:p>
    <w:p/>
    <w:p>
      <w:r>
        <w:drawing>
          <wp:inline distT="0" distB="0" distL="114300" distR="114300">
            <wp:extent cx="5272405" cy="1815465"/>
            <wp:effectExtent l="0" t="0" r="10795" b="635"/>
            <wp:docPr id="237"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26"/>
                    <pic:cNvPicPr>
                      <a:picLocks noChangeAspect="1"/>
                    </pic:cNvPicPr>
                  </pic:nvPicPr>
                  <pic:blipFill>
                    <a:blip r:embed="rId19"/>
                    <a:stretch>
                      <a:fillRect/>
                    </a:stretch>
                  </pic:blipFill>
                  <pic:spPr>
                    <a:xfrm>
                      <a:off x="0" y="0"/>
                      <a:ext cx="5272405" cy="1815465"/>
                    </a:xfrm>
                    <a:prstGeom prst="rect">
                      <a:avLst/>
                    </a:prstGeom>
                    <a:noFill/>
                    <a:ln>
                      <a:noFill/>
                    </a:ln>
                  </pic:spPr>
                </pic:pic>
              </a:graphicData>
            </a:graphic>
          </wp:inline>
        </w:drawing>
      </w:r>
    </w:p>
    <w:p>
      <w:pPr>
        <w:pStyle w:val="2"/>
      </w:pPr>
      <w:r>
        <w:drawing>
          <wp:inline distT="0" distB="0" distL="114300" distR="114300">
            <wp:extent cx="5273675" cy="3692525"/>
            <wp:effectExtent l="0" t="0" r="9525" b="3175"/>
            <wp:docPr id="238"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27"/>
                    <pic:cNvPicPr>
                      <a:picLocks noChangeAspect="1"/>
                    </pic:cNvPicPr>
                  </pic:nvPicPr>
                  <pic:blipFill>
                    <a:blip r:embed="rId20"/>
                    <a:stretch>
                      <a:fillRect/>
                    </a:stretch>
                  </pic:blipFill>
                  <pic:spPr>
                    <a:xfrm>
                      <a:off x="0" y="0"/>
                      <a:ext cx="5273675" cy="3692525"/>
                    </a:xfrm>
                    <a:prstGeom prst="rect">
                      <a:avLst/>
                    </a:prstGeom>
                    <a:noFill/>
                    <a:ln>
                      <a:noFill/>
                    </a:ln>
                  </pic:spPr>
                </pic:pic>
              </a:graphicData>
            </a:graphic>
          </wp:inline>
        </w:drawing>
      </w:r>
    </w:p>
    <w:p>
      <w:pPr>
        <w:pStyle w:val="2"/>
      </w:pPr>
    </w:p>
    <w:p>
      <w:pPr>
        <w:pStyle w:val="2"/>
      </w:pPr>
      <w:r>
        <w:drawing>
          <wp:inline distT="0" distB="0" distL="114300" distR="114300">
            <wp:extent cx="5270500" cy="2416175"/>
            <wp:effectExtent l="0" t="0" r="0" b="9525"/>
            <wp:docPr id="239"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28"/>
                    <pic:cNvPicPr>
                      <a:picLocks noChangeAspect="1"/>
                    </pic:cNvPicPr>
                  </pic:nvPicPr>
                  <pic:blipFill>
                    <a:blip r:embed="rId21"/>
                    <a:stretch>
                      <a:fillRect/>
                    </a:stretch>
                  </pic:blipFill>
                  <pic:spPr>
                    <a:xfrm>
                      <a:off x="0" y="0"/>
                      <a:ext cx="5270500" cy="2416175"/>
                    </a:xfrm>
                    <a:prstGeom prst="rect">
                      <a:avLst/>
                    </a:prstGeom>
                    <a:noFill/>
                    <a:ln>
                      <a:noFill/>
                    </a:ln>
                  </pic:spPr>
                </pic:pic>
              </a:graphicData>
            </a:graphic>
          </wp:inline>
        </w:drawing>
      </w:r>
    </w:p>
    <w:p>
      <w:pPr>
        <w:pStyle w:val="2"/>
      </w:pPr>
      <w:r>
        <w:drawing>
          <wp:inline distT="0" distB="0" distL="114300" distR="114300">
            <wp:extent cx="5271135" cy="2903220"/>
            <wp:effectExtent l="0" t="0" r="12065" b="5080"/>
            <wp:docPr id="240"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29"/>
                    <pic:cNvPicPr>
                      <a:picLocks noChangeAspect="1"/>
                    </pic:cNvPicPr>
                  </pic:nvPicPr>
                  <pic:blipFill>
                    <a:blip r:embed="rId22"/>
                    <a:stretch>
                      <a:fillRect/>
                    </a:stretch>
                  </pic:blipFill>
                  <pic:spPr>
                    <a:xfrm>
                      <a:off x="0" y="0"/>
                      <a:ext cx="5271135" cy="2903220"/>
                    </a:xfrm>
                    <a:prstGeom prst="rect">
                      <a:avLst/>
                    </a:prstGeom>
                    <a:noFill/>
                    <a:ln>
                      <a:noFill/>
                    </a:ln>
                  </pic:spPr>
                </pic:pic>
              </a:graphicData>
            </a:graphic>
          </wp:inline>
        </w:drawing>
      </w:r>
    </w:p>
    <w:p>
      <w:pPr>
        <w:pStyle w:val="2"/>
      </w:pPr>
    </w:p>
    <w:p>
      <w:pPr>
        <w:pStyle w:val="2"/>
      </w:pPr>
      <w:r>
        <w:drawing>
          <wp:inline distT="0" distB="0" distL="114300" distR="114300">
            <wp:extent cx="5262880" cy="1047115"/>
            <wp:effectExtent l="0" t="0" r="7620" b="6985"/>
            <wp:docPr id="241"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30"/>
                    <pic:cNvPicPr>
                      <a:picLocks noChangeAspect="1"/>
                    </pic:cNvPicPr>
                  </pic:nvPicPr>
                  <pic:blipFill>
                    <a:blip r:embed="rId23"/>
                    <a:stretch>
                      <a:fillRect/>
                    </a:stretch>
                  </pic:blipFill>
                  <pic:spPr>
                    <a:xfrm>
                      <a:off x="0" y="0"/>
                      <a:ext cx="5262880" cy="1047115"/>
                    </a:xfrm>
                    <a:prstGeom prst="rect">
                      <a:avLst/>
                    </a:prstGeom>
                    <a:noFill/>
                    <a:ln>
                      <a:noFill/>
                    </a:ln>
                  </pic:spPr>
                </pic:pic>
              </a:graphicData>
            </a:graphic>
          </wp:inline>
        </w:drawing>
      </w:r>
    </w:p>
    <w:p>
      <w:pPr>
        <w:pStyle w:val="2"/>
      </w:pPr>
    </w:p>
    <w:p>
      <w:r>
        <w:drawing>
          <wp:inline distT="0" distB="0" distL="114300" distR="114300">
            <wp:extent cx="5273675" cy="1614170"/>
            <wp:effectExtent l="0" t="0" r="9525" b="11430"/>
            <wp:docPr id="243"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32"/>
                    <pic:cNvPicPr>
                      <a:picLocks noChangeAspect="1"/>
                    </pic:cNvPicPr>
                  </pic:nvPicPr>
                  <pic:blipFill>
                    <a:blip r:embed="rId24"/>
                    <a:stretch>
                      <a:fillRect/>
                    </a:stretch>
                  </pic:blipFill>
                  <pic:spPr>
                    <a:xfrm>
                      <a:off x="0" y="0"/>
                      <a:ext cx="5273675" cy="1614170"/>
                    </a:xfrm>
                    <a:prstGeom prst="rect">
                      <a:avLst/>
                    </a:prstGeom>
                    <a:noFill/>
                    <a:ln>
                      <a:noFill/>
                    </a:ln>
                  </pic:spPr>
                </pic:pic>
              </a:graphicData>
            </a:graphic>
          </wp:inline>
        </w:drawing>
      </w:r>
    </w:p>
    <w:p/>
    <w:p/>
    <w:p/>
    <w:p/>
    <w:p/>
    <w:p>
      <w:pPr>
        <w:pStyle w:val="2"/>
      </w:pPr>
      <w:r>
        <w:drawing>
          <wp:inline distT="0" distB="0" distL="114300" distR="114300">
            <wp:extent cx="5270500" cy="2421255"/>
            <wp:effectExtent l="0" t="0" r="0" b="4445"/>
            <wp:docPr id="245"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34"/>
                    <pic:cNvPicPr>
                      <a:picLocks noChangeAspect="1"/>
                    </pic:cNvPicPr>
                  </pic:nvPicPr>
                  <pic:blipFill>
                    <a:blip r:embed="rId25"/>
                    <a:stretch>
                      <a:fillRect/>
                    </a:stretch>
                  </pic:blipFill>
                  <pic:spPr>
                    <a:xfrm>
                      <a:off x="0" y="0"/>
                      <a:ext cx="5270500" cy="2421255"/>
                    </a:xfrm>
                    <a:prstGeom prst="rect">
                      <a:avLst/>
                    </a:prstGeom>
                    <a:noFill/>
                    <a:ln>
                      <a:noFill/>
                    </a:ln>
                  </pic:spPr>
                </pic:pic>
              </a:graphicData>
            </a:graphic>
          </wp:inline>
        </w:drawing>
      </w:r>
    </w:p>
    <w:p/>
    <w:p/>
    <w:p>
      <w:pPr>
        <w:pStyle w:val="2"/>
      </w:pPr>
    </w:p>
    <w:p/>
    <w:p>
      <w:pPr>
        <w:pStyle w:val="2"/>
      </w:pPr>
    </w:p>
    <w:p/>
    <w:p/>
    <w:p/>
    <w:p/>
    <w:p/>
    <w:p/>
    <w:p>
      <w:pPr>
        <w:widowControl/>
        <w:spacing w:line="560" w:lineRule="exact"/>
        <w:rPr>
          <w:rFonts w:hint="eastAsia" w:ascii="仿宋_GB2312" w:hAnsi="Cambria" w:eastAsia="仿宋_GB2312" w:cs="ArialUnicodeMS"/>
          <w:kern w:val="0"/>
          <w:sz w:val="32"/>
          <w:szCs w:val="32"/>
          <w:lang w:eastAsia="zh-CN"/>
        </w:rPr>
      </w:pPr>
    </w:p>
    <w:p/>
    <w:p/>
    <w:p>
      <w:pPr>
        <w:pStyle w:val="2"/>
      </w:pPr>
    </w:p>
    <w:p/>
    <w:p>
      <w:pPr>
        <w:rPr>
          <w:rFonts w:hint="eastAsia"/>
          <w:lang w:eastAsia="zh-CN"/>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C2F6"/>
    <w:multiLevelType w:val="singleLevel"/>
    <w:tmpl w:val="31D4C2F6"/>
    <w:lvl w:ilvl="0" w:tentative="0">
      <w:start w:val="1"/>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OTdiNjQ0ZWNiZjY4MmQ2ZDE4YjdiZjAwZmFkMmEifQ=="/>
  </w:docVars>
  <w:rsids>
    <w:rsidRoot w:val="00172A27"/>
    <w:rsid w:val="0002515A"/>
    <w:rsid w:val="000B78AE"/>
    <w:rsid w:val="000D4467"/>
    <w:rsid w:val="000D748B"/>
    <w:rsid w:val="00280C2E"/>
    <w:rsid w:val="00326B48"/>
    <w:rsid w:val="00425EB3"/>
    <w:rsid w:val="0043062D"/>
    <w:rsid w:val="004365C4"/>
    <w:rsid w:val="00464188"/>
    <w:rsid w:val="004B32A7"/>
    <w:rsid w:val="005013BE"/>
    <w:rsid w:val="00520045"/>
    <w:rsid w:val="0057085F"/>
    <w:rsid w:val="006325DF"/>
    <w:rsid w:val="00634643"/>
    <w:rsid w:val="006703CC"/>
    <w:rsid w:val="00743D38"/>
    <w:rsid w:val="007B7A06"/>
    <w:rsid w:val="0082411B"/>
    <w:rsid w:val="008339D3"/>
    <w:rsid w:val="00855478"/>
    <w:rsid w:val="008D2564"/>
    <w:rsid w:val="008F3C5D"/>
    <w:rsid w:val="0095011B"/>
    <w:rsid w:val="00960C6B"/>
    <w:rsid w:val="00A52C3F"/>
    <w:rsid w:val="00B132A9"/>
    <w:rsid w:val="00B34420"/>
    <w:rsid w:val="00BE5590"/>
    <w:rsid w:val="00C32044"/>
    <w:rsid w:val="00C53B44"/>
    <w:rsid w:val="00D660D3"/>
    <w:rsid w:val="00D80CDB"/>
    <w:rsid w:val="00DC1821"/>
    <w:rsid w:val="00E031E1"/>
    <w:rsid w:val="00E40B79"/>
    <w:rsid w:val="00E67ABD"/>
    <w:rsid w:val="00E9014A"/>
    <w:rsid w:val="00F00AF8"/>
    <w:rsid w:val="00F7065F"/>
    <w:rsid w:val="00FA024B"/>
    <w:rsid w:val="00FC3880"/>
    <w:rsid w:val="00FC69A2"/>
    <w:rsid w:val="00FF637D"/>
    <w:rsid w:val="0178495D"/>
    <w:rsid w:val="01C81EDB"/>
    <w:rsid w:val="0208054B"/>
    <w:rsid w:val="037203C5"/>
    <w:rsid w:val="0511209E"/>
    <w:rsid w:val="05487A70"/>
    <w:rsid w:val="07697D31"/>
    <w:rsid w:val="08053EFD"/>
    <w:rsid w:val="0B99455B"/>
    <w:rsid w:val="0CB32919"/>
    <w:rsid w:val="0CD136A0"/>
    <w:rsid w:val="0D587C32"/>
    <w:rsid w:val="0E5C788E"/>
    <w:rsid w:val="0FC621C4"/>
    <w:rsid w:val="10877CD4"/>
    <w:rsid w:val="1188584E"/>
    <w:rsid w:val="121379E9"/>
    <w:rsid w:val="124A5045"/>
    <w:rsid w:val="1352526C"/>
    <w:rsid w:val="14551D69"/>
    <w:rsid w:val="14D02DF5"/>
    <w:rsid w:val="15C251DC"/>
    <w:rsid w:val="16931292"/>
    <w:rsid w:val="1A2E7D32"/>
    <w:rsid w:val="1A55094C"/>
    <w:rsid w:val="1AC87275"/>
    <w:rsid w:val="1C8925AF"/>
    <w:rsid w:val="1DAA37DA"/>
    <w:rsid w:val="1EC32895"/>
    <w:rsid w:val="1F0C4CAA"/>
    <w:rsid w:val="1F1E1BC6"/>
    <w:rsid w:val="20DA11DD"/>
    <w:rsid w:val="211E04DE"/>
    <w:rsid w:val="23671B55"/>
    <w:rsid w:val="23C76222"/>
    <w:rsid w:val="2518388C"/>
    <w:rsid w:val="25E92392"/>
    <w:rsid w:val="286F30C5"/>
    <w:rsid w:val="2B420D04"/>
    <w:rsid w:val="2C194214"/>
    <w:rsid w:val="2DAE75E6"/>
    <w:rsid w:val="2DEB1328"/>
    <w:rsid w:val="2F5C1CB3"/>
    <w:rsid w:val="2FB944A8"/>
    <w:rsid w:val="30BA6296"/>
    <w:rsid w:val="32DC56D7"/>
    <w:rsid w:val="336E000E"/>
    <w:rsid w:val="358A6B3D"/>
    <w:rsid w:val="374668BF"/>
    <w:rsid w:val="38D5425C"/>
    <w:rsid w:val="3AFF30F7"/>
    <w:rsid w:val="3B4E14F1"/>
    <w:rsid w:val="3C1F10D4"/>
    <w:rsid w:val="3D9F7A2D"/>
    <w:rsid w:val="3E366E69"/>
    <w:rsid w:val="3E401D38"/>
    <w:rsid w:val="3ECB3E98"/>
    <w:rsid w:val="400F5F1A"/>
    <w:rsid w:val="41405083"/>
    <w:rsid w:val="42684CD0"/>
    <w:rsid w:val="43043EA4"/>
    <w:rsid w:val="431C742A"/>
    <w:rsid w:val="44880606"/>
    <w:rsid w:val="45E51B79"/>
    <w:rsid w:val="46174344"/>
    <w:rsid w:val="462A38F1"/>
    <w:rsid w:val="471A5D9C"/>
    <w:rsid w:val="480C3F11"/>
    <w:rsid w:val="49014601"/>
    <w:rsid w:val="4AF61097"/>
    <w:rsid w:val="4B2332B0"/>
    <w:rsid w:val="4C540C41"/>
    <w:rsid w:val="4C856040"/>
    <w:rsid w:val="4D776F41"/>
    <w:rsid w:val="4D902505"/>
    <w:rsid w:val="4F6B3C13"/>
    <w:rsid w:val="50F11EF6"/>
    <w:rsid w:val="51D04F1B"/>
    <w:rsid w:val="529C4CC2"/>
    <w:rsid w:val="54C83000"/>
    <w:rsid w:val="55B0028A"/>
    <w:rsid w:val="56BF222F"/>
    <w:rsid w:val="58757B49"/>
    <w:rsid w:val="59842566"/>
    <w:rsid w:val="59AD24FF"/>
    <w:rsid w:val="5C645C72"/>
    <w:rsid w:val="5D5977A1"/>
    <w:rsid w:val="5F394535"/>
    <w:rsid w:val="603968B2"/>
    <w:rsid w:val="63F16D12"/>
    <w:rsid w:val="66270AA3"/>
    <w:rsid w:val="6695686F"/>
    <w:rsid w:val="678A6551"/>
    <w:rsid w:val="67C7768B"/>
    <w:rsid w:val="68EF6A2E"/>
    <w:rsid w:val="69455616"/>
    <w:rsid w:val="69B61AD7"/>
    <w:rsid w:val="6B062357"/>
    <w:rsid w:val="6BC40180"/>
    <w:rsid w:val="6C5F6C0E"/>
    <w:rsid w:val="6DA91C67"/>
    <w:rsid w:val="719C5A86"/>
    <w:rsid w:val="720101F7"/>
    <w:rsid w:val="72D52FC8"/>
    <w:rsid w:val="741A1225"/>
    <w:rsid w:val="75BE753F"/>
    <w:rsid w:val="76943CDE"/>
    <w:rsid w:val="79910067"/>
    <w:rsid w:val="7C14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2.bmp"/><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D:\2020&#24180;&#20915;&#31639;\2020&#24180;&#20915;&#31639;&#20844;&#24320;\&#20915;&#31639;&#20844;&#24320;&#39292;&#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0&#24180;&#20915;&#31639;\2020&#24180;&#20915;&#31639;&#20844;&#24320;\&#20915;&#31639;&#20844;&#24320;&#392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2019-2020年收支总计对比情况（图1）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2019年</c:v>
                </c:pt>
                <c:pt idx="1">
                  <c:v>2020年</c:v>
                </c:pt>
              </c:strCache>
            </c:strRef>
          </c:cat>
          <c:val>
            <c:numRef>
              <c:f>Sheet1!$B$2:$B$3</c:f>
              <c:numCache>
                <c:formatCode>General</c:formatCode>
                <c:ptCount val="2"/>
              </c:numCache>
            </c:numRef>
          </c:val>
        </c:ser>
        <c:ser>
          <c:idx val="1"/>
          <c:order val="1"/>
          <c:tx>
            <c:strRef>
              <c:f>Sheet1!$C$1</c:f>
              <c:strCache>
                <c:ptCount val="1"/>
                <c:pt idx="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2019年</c:v>
                </c:pt>
                <c:pt idx="1">
                  <c:v>2020年</c:v>
                </c:pt>
              </c:strCache>
            </c:strRef>
          </c:cat>
          <c:val>
            <c:numRef>
              <c:f>Sheet1!$C$2:$C$3</c:f>
              <c:numCache>
                <c:formatCode>General</c:formatCode>
                <c:ptCount val="2"/>
                <c:pt idx="0">
                  <c:v>4061.92</c:v>
                </c:pt>
                <c:pt idx="1">
                  <c:v>3782.26</c:v>
                </c:pt>
              </c:numCache>
            </c:numRef>
          </c:val>
        </c:ser>
        <c:ser>
          <c:idx val="2"/>
          <c:order val="2"/>
          <c:tx>
            <c:strRef>
              <c:f>Sheet1!$D$1</c:f>
              <c:strCache>
                <c:ptCount val="1"/>
                <c:pt idx="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2019年</c:v>
                </c:pt>
                <c:pt idx="1">
                  <c:v>2020年</c:v>
                </c:pt>
              </c:strCache>
            </c:strRef>
          </c:cat>
          <c:val>
            <c:numRef>
              <c:f>Sheet1!$D$2:$D$3</c:f>
              <c:numCache>
                <c:formatCode>General</c:formatCode>
                <c:ptCount val="2"/>
              </c:numCache>
            </c:numRef>
          </c:val>
        </c:ser>
        <c:dLbls>
          <c:showLegendKey val="0"/>
          <c:showVal val="1"/>
          <c:showCatName val="0"/>
          <c:showSerName val="0"/>
          <c:showPercent val="0"/>
          <c:showBubbleSize val="0"/>
        </c:dLbls>
        <c:gapWidth val="100"/>
        <c:overlap val="-24"/>
        <c:axId val="17216753"/>
        <c:axId val="54700571"/>
      </c:barChart>
      <c:catAx>
        <c:axId val="17216753"/>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54700571"/>
        <c:crosses val="autoZero"/>
        <c:auto val="1"/>
        <c:lblAlgn val="ctr"/>
        <c:lblOffset val="100"/>
        <c:noMultiLvlLbl val="0"/>
      </c:catAx>
      <c:valAx>
        <c:axId val="5470057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72167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黑体" panose="02010609060101010101" charset="-122"/>
                <a:ea typeface="黑体" panose="02010609060101010101" charset="-122"/>
                <a:cs typeface="+mn-cs"/>
              </a:defRPr>
            </a:pPr>
            <a:r>
              <a:rPr lang="zh-CN" altLang="zh-CN" sz="1800" b="0" i="0" baseline="0">
                <a:effectLst/>
                <a:latin typeface="黑体" panose="02010609060101010101" charset="-122"/>
                <a:ea typeface="黑体" panose="02010609060101010101" charset="-122"/>
              </a:rPr>
              <a:t>收入</a:t>
            </a:r>
            <a:r>
              <a:rPr lang="zh-CN" altLang="en-US" sz="1800" b="0" i="0" baseline="0">
                <a:effectLst/>
                <a:latin typeface="黑体" panose="02010609060101010101" charset="-122"/>
                <a:ea typeface="黑体" panose="02010609060101010101" charset="-122"/>
              </a:rPr>
              <a:t>构成情况（图</a:t>
            </a:r>
            <a:r>
              <a:rPr lang="en-US" altLang="zh-CN" sz="1800" b="0" i="0" baseline="0">
                <a:effectLst/>
                <a:latin typeface="黑体" panose="02010609060101010101" charset="-122"/>
                <a:ea typeface="黑体" panose="02010609060101010101" charset="-122"/>
              </a:rPr>
              <a:t>2</a:t>
            </a:r>
            <a:r>
              <a:rPr lang="zh-CN" altLang="en-US" sz="1800" b="0" i="0" baseline="0">
                <a:effectLst/>
                <a:latin typeface="黑体" panose="02010609060101010101" charset="-122"/>
                <a:ea typeface="黑体" panose="02010609060101010101" charset="-122"/>
              </a:rPr>
              <a:t>）</a:t>
            </a:r>
            <a:endParaRPr lang="en-US" altLang="zh-CN" sz="1800" b="0" i="0" baseline="0">
              <a:effectLst/>
              <a:latin typeface="黑体" panose="02010609060101010101" charset="-122"/>
              <a:ea typeface="黑体" panose="02010609060101010101" charset="-122"/>
            </a:endParaRPr>
          </a:p>
        </c:rich>
      </c:tx>
      <c:layout>
        <c:manualLayout>
          <c:xMode val="edge"/>
          <c:yMode val="edge"/>
          <c:x val="0.253742860425141"/>
          <c:y val="0.818587065955487"/>
        </c:manualLayout>
      </c:layout>
      <c:overlay val="0"/>
      <c:spPr>
        <a:noFill/>
        <a:ln>
          <a:noFill/>
        </a:ln>
        <a:effectLst/>
      </c:spPr>
    </c:title>
    <c:autoTitleDeleted val="0"/>
    <c:view3D>
      <c:rotX val="30"/>
      <c:rotY val="312"/>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598690292717656"/>
          <c:y val="0.0688441000296974"/>
          <c:w val="0.713334946757018"/>
          <c:h val="0.579448621553885"/>
        </c:manualLayout>
      </c:layout>
      <c:pie3DChart>
        <c:varyColors val="1"/>
        <c:ser>
          <c:idx val="0"/>
          <c:order val="0"/>
          <c:tx>
            <c:strRef>
              <c:f>[决算公开饼图.xlsx]收入支出资金对比!$B$1</c:f>
              <c:strCache>
                <c:ptCount val="1"/>
                <c:pt idx="0">
                  <c:v>金额</c:v>
                </c:pt>
              </c:strCache>
            </c:strRef>
          </c:tx>
          <c:explosion val="1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0311679083202572"/>
                  <c:y val="0.084231424949609"/>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accent2"/>
                        </a:solidFill>
                        <a:latin typeface="黑体" panose="02010609060101010101" charset="-122"/>
                        <a:ea typeface="黑体" panose="02010609060101010101" charset="-122"/>
                        <a:cs typeface="+mn-cs"/>
                      </a:defRPr>
                    </a:pPr>
                    <a:r>
                      <a:t>财政拨款收入9</a:t>
                    </a:r>
                    <a:r>
                      <a:rPr lang="en-US" altLang="zh-CN"/>
                      <a:t>9.54</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09946893981161"/>
                  <c:y val="0.0823425821382602"/>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4"/>
                        </a:solidFill>
                        <a:latin typeface="黑体" panose="02010609060101010101" charset="-122"/>
                        <a:ea typeface="黑体" panose="02010609060101010101" charset="-122"/>
                        <a:cs typeface="+mn-cs"/>
                      </a:defRPr>
                    </a:pPr>
                    <a:r>
                      <a:t>事业收入0.</a:t>
                    </a:r>
                    <a:r>
                      <a:rPr lang="en-US" altLang="zh-CN"/>
                      <a:t>46</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黑体" panose="02010609060101010101" charset="-122"/>
                      <a:ea typeface="黑体" panose="02010609060101010101"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黑体" panose="02010609060101010101" charset="-122"/>
                    <a:ea typeface="黑体" panose="02010609060101010101"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[决算公开饼图.xlsx]收入支出资金对比!$A$2:$A$3</c:f>
              <c:strCache>
                <c:ptCount val="2"/>
                <c:pt idx="0">
                  <c:v>财政拨款收入</c:v>
                </c:pt>
                <c:pt idx="1">
                  <c:v>事业收入</c:v>
                </c:pt>
              </c:strCache>
            </c:strRef>
          </c:cat>
          <c:val>
            <c:numRef>
              <c:f>[决算公开饼图.xlsx]收入支出资金对比!$B$2:$B$3</c:f>
              <c:numCache>
                <c:formatCode>#,##0.00</c:formatCode>
                <c:ptCount val="2"/>
                <c:pt idx="0">
                  <c:v>3364.34</c:v>
                </c:pt>
                <c:pt idx="1">
                  <c:v>21.6</c:v>
                </c:pt>
              </c:numCache>
            </c:numRef>
          </c:val>
        </c:ser>
        <c:dLbls>
          <c:showLegendKey val="0"/>
          <c:showVal val="0"/>
          <c:showCatName val="1"/>
          <c:showSerName val="0"/>
          <c:showPercent val="1"/>
          <c:showBubbleSize val="0"/>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黑体" panose="02010609060101010101" charset="-122"/>
                <a:ea typeface="黑体" panose="02010609060101010101" charset="-122"/>
                <a:cs typeface="+mn-cs"/>
              </a:defRPr>
            </a:pPr>
            <a:r>
              <a:rPr lang="zh-CN" altLang="en-US" sz="1800" b="0" i="0" baseline="0">
                <a:effectLst/>
                <a:latin typeface="黑体" panose="02010609060101010101" charset="-122"/>
                <a:ea typeface="黑体" panose="02010609060101010101" charset="-122"/>
              </a:rPr>
              <a:t>支出构成情况（图</a:t>
            </a:r>
            <a:r>
              <a:rPr lang="en-US" altLang="zh-CN" sz="1800" b="0" i="0" baseline="0">
                <a:effectLst/>
                <a:latin typeface="黑体" panose="02010609060101010101" charset="-122"/>
                <a:ea typeface="黑体" panose="02010609060101010101" charset="-122"/>
              </a:rPr>
              <a:t>3</a:t>
            </a:r>
            <a:r>
              <a:rPr lang="zh-CN" altLang="en-US" sz="1800" b="0" i="0" baseline="0">
                <a:effectLst/>
                <a:latin typeface="黑体" panose="02010609060101010101" charset="-122"/>
                <a:ea typeface="黑体" panose="02010609060101010101" charset="-122"/>
              </a:rPr>
              <a:t>）</a:t>
            </a:r>
            <a:endParaRPr lang="zh-CN" altLang="zh-CN">
              <a:effectLst/>
              <a:latin typeface="黑体" panose="02010609060101010101" charset="-122"/>
              <a:ea typeface="黑体" panose="02010609060101010101" charset="-122"/>
            </a:endParaRPr>
          </a:p>
        </c:rich>
      </c:tx>
      <c:layout>
        <c:manualLayout>
          <c:xMode val="edge"/>
          <c:yMode val="edge"/>
          <c:x val="0.307300923111721"/>
          <c:y val="0.858555741547378"/>
        </c:manualLayout>
      </c:layout>
      <c:overlay val="0"/>
      <c:spPr>
        <a:noFill/>
        <a:ln>
          <a:noFill/>
        </a:ln>
        <a:effectLst/>
      </c:spPr>
    </c:title>
    <c:autoTitleDeleted val="0"/>
    <c:view3D>
      <c:rotX val="30"/>
      <c:rotY val="312"/>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[决算公开饼图.xlsx]收入支出资金对比!$B$8</c:f>
              <c:strCache>
                <c:ptCount val="1"/>
                <c:pt idx="0">
                  <c:v>金额</c:v>
                </c:pt>
              </c:strCache>
            </c:strRef>
          </c:tx>
          <c:explosion val="1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0638146793487089"/>
                  <c:y val="-0.0604046370576658"/>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accent2"/>
                        </a:solidFill>
                        <a:latin typeface="黑体" panose="02010609060101010101" charset="-122"/>
                        <a:ea typeface="黑体" panose="02010609060101010101" charset="-122"/>
                        <a:cs typeface="+mn-cs"/>
                      </a:defRPr>
                    </a:pPr>
                    <a:r>
                      <a:t>基本支出</a:t>
                    </a:r>
                  </a:p>
                  <a:p>
                    <a:pPr defTabSz="914400">
                      <a:defRPr lang="zh-CN" sz="1000" b="1" i="0" u="none" strike="noStrike" kern="1200" spc="0" baseline="0">
                        <a:solidFill>
                          <a:schemeClr val="accent2"/>
                        </a:solidFill>
                        <a:latin typeface="黑体" panose="02010609060101010101" charset="-122"/>
                        <a:ea typeface="黑体" panose="02010609060101010101" charset="-122"/>
                        <a:cs typeface="+mn-cs"/>
                      </a:defRPr>
                    </a:pPr>
                    <a:r>
                      <a:rPr lang="en-US" altLang="zh-CN"/>
                      <a:t>90.9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67251775957962"/>
                  <c:y val="0.164995262758013"/>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accent2"/>
                        </a:solidFill>
                        <a:latin typeface="黑体" panose="02010609060101010101" charset="-122"/>
                        <a:ea typeface="黑体" panose="02010609060101010101" charset="-122"/>
                        <a:cs typeface="+mn-cs"/>
                      </a:defRPr>
                    </a:pPr>
                    <a:r>
                      <a:t>项目支出</a:t>
                    </a:r>
                  </a:p>
                  <a:p>
                    <a:pPr defTabSz="914400">
                      <a:defRPr lang="zh-CN" sz="1000" b="1" i="0" u="none" strike="noStrike" kern="1200" spc="0" baseline="0">
                        <a:solidFill>
                          <a:schemeClr val="accent2"/>
                        </a:solidFill>
                        <a:latin typeface="黑体" panose="02010609060101010101" charset="-122"/>
                        <a:ea typeface="黑体" panose="02010609060101010101" charset="-122"/>
                        <a:cs typeface="+mn-cs"/>
                      </a:defRPr>
                    </a:pPr>
                    <a:r>
                      <a:rPr lang="en-US" altLang="zh-CN"/>
                      <a:t>9.1</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黑体" panose="02010609060101010101" charset="-122"/>
                    <a:ea typeface="黑体" panose="02010609060101010101"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[决算公开饼图.xlsx]收入支出资金对比!$A$9:$A$10</c:f>
              <c:strCache>
                <c:ptCount val="2"/>
                <c:pt idx="0">
                  <c:v>基本支出</c:v>
                </c:pt>
                <c:pt idx="1">
                  <c:v>项目支出</c:v>
                </c:pt>
              </c:strCache>
            </c:strRef>
          </c:cat>
          <c:val>
            <c:numRef>
              <c:f>[决算公开饼图.xlsx]收入支出资金对比!$B$9:$B$10</c:f>
              <c:numCache>
                <c:formatCode>General</c:formatCode>
                <c:ptCount val="2"/>
                <c:pt idx="0">
                  <c:v>3218.11</c:v>
                </c:pt>
                <c:pt idx="1" c:formatCode="#,##0.00">
                  <c:v>296.85</c:v>
                </c:pt>
              </c:numCache>
            </c:numRef>
          </c:val>
        </c:ser>
        <c:dLbls>
          <c:showLegendKey val="0"/>
          <c:showVal val="0"/>
          <c:showCatName val="1"/>
          <c:showSerName val="0"/>
          <c:showPercent val="1"/>
          <c:showBubbleSize val="0"/>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AD70A-D707-49AD-97D1-D953BB607E32}">
  <ds:schemaRefs/>
</ds:datastoreItem>
</file>

<file path=docProps/app.xml><?xml version="1.0" encoding="utf-8"?>
<Properties xmlns="http://schemas.openxmlformats.org/officeDocument/2006/extended-properties" xmlns:vt="http://schemas.openxmlformats.org/officeDocument/2006/docPropsVTypes">
  <Template>Normal</Template>
  <Pages>24</Pages>
  <Words>4220</Words>
  <Characters>4631</Characters>
  <Lines>28</Lines>
  <Paragraphs>7</Paragraphs>
  <TotalTime>2</TotalTime>
  <ScaleCrop>false</ScaleCrop>
  <LinksUpToDate>false</LinksUpToDate>
  <CharactersWithSpaces>4777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2021-09-15T04:59:00Z</dcterms:created>
  <dc:creator>25中梁</dc:creator>
  <cp:lastModifiedBy>Administrator</cp:lastModifiedBy>
  <dcterms:modified xsi:type="dcterms:W3CDTF">2022-09-08T09:01:26Z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AA0F44741E3342EBAE10BAB3B7FD5A5A</vt:lpwstr>
  </property>
</Properties>
</file>